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19D38" w14:textId="77777777" w:rsidR="00DD5028" w:rsidRDefault="00DD5028" w:rsidP="008D69AD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</w:p>
    <w:p w14:paraId="2C29143C" w14:textId="77777777" w:rsidR="00C9094A" w:rsidRPr="00DE0853" w:rsidRDefault="00C9094A" w:rsidP="00C9094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8B337F">
        <w:rPr>
          <w:b/>
          <w:sz w:val="28"/>
          <w:szCs w:val="28"/>
        </w:rPr>
        <w:t>Gender Pay Gap Report</w:t>
      </w:r>
    </w:p>
    <w:p w14:paraId="3EF9FFB0" w14:textId="77777777" w:rsidR="00C9094A" w:rsidRPr="00DE0853" w:rsidRDefault="00C9094A" w:rsidP="00C9094A">
      <w:pPr>
        <w:rPr>
          <w:b/>
        </w:rPr>
      </w:pPr>
      <w:r>
        <w:rPr>
          <w:b/>
        </w:rPr>
        <w:t>1. Introduction</w:t>
      </w:r>
    </w:p>
    <w:p w14:paraId="17D2DE21" w14:textId="356BA884" w:rsidR="00D10360" w:rsidRPr="008D69AD" w:rsidRDefault="00580188" w:rsidP="00D10360">
      <w:r>
        <w:t xml:space="preserve">University College’s </w:t>
      </w:r>
      <w:r w:rsidR="00D10360">
        <w:t xml:space="preserve">Gender Pay Gap Report </w:t>
      </w:r>
      <w:r w:rsidR="0095204C">
        <w:t xml:space="preserve">is </w:t>
      </w:r>
      <w:r w:rsidR="008F212F">
        <w:t>submitt</w:t>
      </w:r>
      <w:r w:rsidR="0095204C">
        <w:t xml:space="preserve">ed </w:t>
      </w:r>
      <w:r w:rsidR="008F212F">
        <w:t xml:space="preserve">here, </w:t>
      </w:r>
      <w:r w:rsidR="000B6801">
        <w:t>in line with the Equality Act 2010 (Gender Pay Gap Information)</w:t>
      </w:r>
      <w:r w:rsidR="00957534">
        <w:t xml:space="preserve"> Regulations 2017</w:t>
      </w:r>
      <w:r w:rsidR="0095204C">
        <w:t xml:space="preserve">.  The </w:t>
      </w:r>
      <w:r w:rsidR="00957534">
        <w:t>reference date for data is</w:t>
      </w:r>
      <w:r w:rsidR="00D10360">
        <w:t xml:space="preserve"> </w:t>
      </w:r>
      <w:r w:rsidR="00957534" w:rsidRPr="00524796">
        <w:t>5 April 20</w:t>
      </w:r>
      <w:r w:rsidR="00957534">
        <w:t>2</w:t>
      </w:r>
      <w:r w:rsidR="00F9669C">
        <w:t>3</w:t>
      </w:r>
      <w:r w:rsidR="00957534">
        <w:t>.</w:t>
      </w:r>
    </w:p>
    <w:p w14:paraId="097B7C73" w14:textId="0F2208F6" w:rsidR="00580188" w:rsidRDefault="00E13A02" w:rsidP="008D69AD">
      <w:pPr>
        <w:rPr>
          <w:rFonts w:eastAsia="Times New Roman" w:cs="Times New Roman"/>
          <w:bCs/>
          <w:color w:val="FF0000"/>
        </w:rPr>
      </w:pPr>
      <w:r w:rsidRPr="00BF4319">
        <w:rPr>
          <w:rFonts w:eastAsia="Times New Roman" w:cs="Times New Roman"/>
          <w:bCs/>
        </w:rPr>
        <w:t>The College’s reports for 2017</w:t>
      </w:r>
      <w:r w:rsidR="00C02B92">
        <w:rPr>
          <w:rFonts w:eastAsia="Times New Roman" w:cs="Times New Roman"/>
          <w:bCs/>
        </w:rPr>
        <w:t xml:space="preserve"> -</w:t>
      </w:r>
      <w:r w:rsidRPr="00BF4319">
        <w:rPr>
          <w:rFonts w:eastAsia="Times New Roman" w:cs="Times New Roman"/>
          <w:bCs/>
        </w:rPr>
        <w:t>20</w:t>
      </w:r>
      <w:r w:rsidR="00C02B92">
        <w:rPr>
          <w:rFonts w:eastAsia="Times New Roman" w:cs="Times New Roman"/>
          <w:bCs/>
        </w:rPr>
        <w:t>2</w:t>
      </w:r>
      <w:r w:rsidR="00F9669C">
        <w:rPr>
          <w:rFonts w:eastAsia="Times New Roman" w:cs="Times New Roman"/>
          <w:bCs/>
        </w:rPr>
        <w:t>2</w:t>
      </w:r>
      <w:r w:rsidRPr="00BF4319">
        <w:rPr>
          <w:rFonts w:eastAsia="Times New Roman" w:cs="Times New Roman"/>
          <w:bCs/>
        </w:rPr>
        <w:t xml:space="preserve"> are available on the website</w:t>
      </w:r>
      <w:r w:rsidR="00BF4319" w:rsidRPr="00BF4319">
        <w:rPr>
          <w:rFonts w:eastAsia="Times New Roman" w:cs="Times New Roman"/>
          <w:bCs/>
        </w:rPr>
        <w:t xml:space="preserve"> </w:t>
      </w:r>
      <w:hyperlink r:id="rId8" w:history="1">
        <w:r w:rsidR="00BF4319" w:rsidRPr="00BF4319">
          <w:rPr>
            <w:rStyle w:val="Hyperlink"/>
            <w:rFonts w:eastAsia="Times New Roman" w:cs="Times New Roman"/>
            <w:bCs/>
          </w:rPr>
          <w:t>here</w:t>
        </w:r>
      </w:hyperlink>
      <w:r w:rsidR="00F15D06" w:rsidRPr="000B6801">
        <w:rPr>
          <w:rFonts w:eastAsia="Times New Roman" w:cs="Times New Roman"/>
          <w:bCs/>
        </w:rPr>
        <w:t xml:space="preserve">.  </w:t>
      </w:r>
      <w:r w:rsidR="00580188" w:rsidRPr="000B6801">
        <w:rPr>
          <w:rFonts w:eastAsia="Times New Roman" w:cs="Times New Roman"/>
          <w:bCs/>
        </w:rPr>
        <w:t>The 2019 report was not submitted due to Covid-19.</w:t>
      </w:r>
    </w:p>
    <w:p w14:paraId="69F7DB6B" w14:textId="77777777" w:rsidR="00C9094A" w:rsidRPr="008D69AD" w:rsidRDefault="00C9094A" w:rsidP="00C9094A">
      <w:pPr>
        <w:spacing w:after="0"/>
        <w:rPr>
          <w:u w:val="single"/>
        </w:rPr>
      </w:pPr>
      <w:r w:rsidRPr="008D69AD">
        <w:rPr>
          <w:u w:val="single"/>
        </w:rPr>
        <w:t>Definitions</w:t>
      </w:r>
    </w:p>
    <w:p w14:paraId="64A98DCE" w14:textId="1876F1C3" w:rsidR="00B6157B" w:rsidRDefault="00B6157B" w:rsidP="004B10B5">
      <w:pPr>
        <w:spacing w:after="0"/>
      </w:pPr>
      <w:r>
        <w:t xml:space="preserve">The </w:t>
      </w:r>
      <w:r w:rsidRPr="008D69AD">
        <w:t>gender pay gap</w:t>
      </w:r>
      <w:r>
        <w:t xml:space="preserve"> is</w:t>
      </w:r>
      <w:r w:rsidRPr="008D69AD">
        <w:t xml:space="preserve"> the difference between the mean or median hourly rate of pay that </w:t>
      </w:r>
      <w:r w:rsidR="00CE2504">
        <w:t xml:space="preserve">the </w:t>
      </w:r>
      <w:r w:rsidR="008F212F">
        <w:t xml:space="preserve">College’s </w:t>
      </w:r>
      <w:r w:rsidRPr="008D69AD">
        <w:t xml:space="preserve">male and female employees receive. </w:t>
      </w:r>
      <w:r>
        <w:t xml:space="preserve"> I</w:t>
      </w:r>
      <w:r w:rsidRPr="00A443FB">
        <w:t>t is not a measure of the difference in pay between men and women for doing the same job</w:t>
      </w:r>
    </w:p>
    <w:p w14:paraId="57B2144A" w14:textId="77777777" w:rsidR="00B6157B" w:rsidRDefault="00B6157B" w:rsidP="004B10B5">
      <w:pPr>
        <w:spacing w:after="0"/>
        <w:rPr>
          <w:i/>
        </w:rPr>
      </w:pPr>
    </w:p>
    <w:p w14:paraId="65C14FC5" w14:textId="5081DCF4" w:rsidR="004B10B5" w:rsidRDefault="00953917" w:rsidP="004B10B5">
      <w:pPr>
        <w:spacing w:after="0"/>
      </w:pPr>
      <w:r w:rsidRPr="008D69AD">
        <w:rPr>
          <w:i/>
        </w:rPr>
        <w:t>Mean pay gap</w:t>
      </w:r>
      <w:r w:rsidRPr="008D69AD">
        <w:t xml:space="preserve"> - </w:t>
      </w:r>
      <w:r w:rsidR="00C9094A" w:rsidRPr="008D69AD">
        <w:t>the</w:t>
      </w:r>
      <w:r w:rsidR="00F40A50">
        <w:t xml:space="preserve"> difference between the mean average </w:t>
      </w:r>
      <w:r w:rsidR="00C9094A" w:rsidRPr="008D69AD">
        <w:t xml:space="preserve">hourly earnings of males and females.  </w:t>
      </w:r>
    </w:p>
    <w:p w14:paraId="2106688A" w14:textId="77777777" w:rsidR="00957534" w:rsidRDefault="00957534" w:rsidP="004B10B5">
      <w:pPr>
        <w:spacing w:after="0"/>
      </w:pPr>
    </w:p>
    <w:p w14:paraId="441E2031" w14:textId="6613D051" w:rsidR="00C9094A" w:rsidRDefault="008D69AD" w:rsidP="00C9094A">
      <w:r w:rsidRPr="008D69AD">
        <w:rPr>
          <w:i/>
        </w:rPr>
        <w:t>Median pay gap</w:t>
      </w:r>
      <w:r w:rsidRPr="008D69AD">
        <w:t xml:space="preserve"> - </w:t>
      </w:r>
      <w:r w:rsidR="00C9094A" w:rsidRPr="008D69AD">
        <w:t>the difference between the mid</w:t>
      </w:r>
      <w:r w:rsidR="006B5A4F">
        <w:t>-</w:t>
      </w:r>
      <w:r w:rsidR="00C9094A" w:rsidRPr="008D69AD">
        <w:t>points in the ranges of the hourly earnings of males and females.</w:t>
      </w:r>
    </w:p>
    <w:p w14:paraId="30EE660C" w14:textId="77777777" w:rsidR="00EF75A1" w:rsidRDefault="00EF75A1" w:rsidP="00C9094A">
      <w:r>
        <w:t>Univ</w:t>
      </w:r>
      <w:r w:rsidRPr="00EF75A1">
        <w:t xml:space="preserve"> has four main staff groups that are covered by this report: </w:t>
      </w:r>
    </w:p>
    <w:p w14:paraId="2358B0C3" w14:textId="77777777" w:rsidR="00EF75A1" w:rsidRDefault="00EF75A1" w:rsidP="00C9094A">
      <w:r w:rsidRPr="00EF75A1">
        <w:sym w:font="Symbol" w:char="F0B7"/>
      </w:r>
      <w:r w:rsidRPr="00EF75A1">
        <w:t xml:space="preserve"> Academic staff </w:t>
      </w:r>
    </w:p>
    <w:p w14:paraId="3DC57766" w14:textId="0BE95F8F" w:rsidR="00EF75A1" w:rsidRDefault="00EF75A1" w:rsidP="00C9094A">
      <w:r w:rsidRPr="00EF75A1">
        <w:sym w:font="Symbol" w:char="F0B7"/>
      </w:r>
      <w:r w:rsidRPr="00EF75A1">
        <w:t xml:space="preserve"> Non-academic staff </w:t>
      </w:r>
      <w:r w:rsidR="006F06C7">
        <w:t>(Administration and Operations)</w:t>
      </w:r>
    </w:p>
    <w:p w14:paraId="32F45064" w14:textId="77777777" w:rsidR="00EF75A1" w:rsidRDefault="00EF75A1" w:rsidP="00C9094A">
      <w:r w:rsidRPr="00EF75A1">
        <w:sym w:font="Symbol" w:char="F0B7"/>
      </w:r>
      <w:r w:rsidRPr="00EF75A1">
        <w:t xml:space="preserve"> Casual staff </w:t>
      </w:r>
    </w:p>
    <w:p w14:paraId="256401FA" w14:textId="6C4388FA" w:rsidR="00EF75A1" w:rsidRDefault="00EF75A1" w:rsidP="00C9094A">
      <w:r w:rsidRPr="00EF75A1">
        <w:sym w:font="Symbol" w:char="F0B7"/>
      </w:r>
      <w:r w:rsidRPr="00EF75A1">
        <w:t xml:space="preserve"> </w:t>
      </w:r>
      <w:r w:rsidR="006F06C7">
        <w:t>Tuition</w:t>
      </w:r>
      <w:r w:rsidRPr="00EF75A1">
        <w:t xml:space="preserve"> (ad hoc teaching provided by graduate students or staff at other colleges</w:t>
      </w:r>
      <w:r w:rsidR="003E096A">
        <w:t xml:space="preserve"> or</w:t>
      </w:r>
      <w:r w:rsidRPr="00EF75A1">
        <w:t xml:space="preserve"> departments). </w:t>
      </w:r>
    </w:p>
    <w:p w14:paraId="212B9343" w14:textId="2C5EAF63" w:rsidR="00EF75A1" w:rsidRDefault="00EF75A1" w:rsidP="00C9094A">
      <w:r w:rsidRPr="00EF75A1">
        <w:t xml:space="preserve">In total, these staff groups represented </w:t>
      </w:r>
      <w:r w:rsidR="006F06C7">
        <w:t>31</w:t>
      </w:r>
      <w:r w:rsidRPr="00EF75A1">
        <w:t xml:space="preserve">3 people at the snapshot date of </w:t>
      </w:r>
      <w:r w:rsidR="00576821">
        <w:t xml:space="preserve">5 April </w:t>
      </w:r>
      <w:bookmarkStart w:id="0" w:name="_GoBack"/>
      <w:bookmarkEnd w:id="0"/>
      <w:r w:rsidRPr="00EF75A1">
        <w:t>202</w:t>
      </w:r>
      <w:r w:rsidR="006F06C7">
        <w:t>3</w:t>
      </w:r>
      <w:r w:rsidR="004B4963">
        <w:t xml:space="preserve">.  </w:t>
      </w:r>
      <w:r w:rsidR="003E096A">
        <w:t>Overall, t</w:t>
      </w:r>
      <w:r w:rsidR="006F06C7">
        <w:t>he</w:t>
      </w:r>
      <w:r w:rsidRPr="00EF75A1">
        <w:t xml:space="preserve"> College</w:t>
      </w:r>
      <w:r w:rsidR="006F06C7">
        <w:t xml:space="preserve">’s </w:t>
      </w:r>
      <w:r w:rsidRPr="00EF75A1">
        <w:t>staff is 4</w:t>
      </w:r>
      <w:r w:rsidR="003E096A">
        <w:t>5</w:t>
      </w:r>
      <w:r w:rsidRPr="00EF75A1">
        <w:t>% female and 55% male.</w:t>
      </w:r>
    </w:p>
    <w:p w14:paraId="52C5D9A8" w14:textId="512EC824" w:rsidR="00C9094A" w:rsidRPr="00D927F9" w:rsidRDefault="004B10B5" w:rsidP="00C9094A">
      <w:pPr>
        <w:rPr>
          <w:b/>
        </w:rPr>
      </w:pPr>
      <w:r>
        <w:rPr>
          <w:b/>
        </w:rPr>
        <w:t xml:space="preserve">2. </w:t>
      </w:r>
      <w:r w:rsidR="00C9094A">
        <w:rPr>
          <w:b/>
        </w:rPr>
        <w:t xml:space="preserve">The </w:t>
      </w:r>
      <w:r w:rsidR="001A462A">
        <w:rPr>
          <w:b/>
        </w:rPr>
        <w:t>202</w:t>
      </w:r>
      <w:r w:rsidR="00F9669C">
        <w:rPr>
          <w:b/>
        </w:rPr>
        <w:t>3</w:t>
      </w:r>
      <w:r w:rsidR="001A462A">
        <w:rPr>
          <w:b/>
        </w:rPr>
        <w:t xml:space="preserve"> </w:t>
      </w:r>
      <w:r w:rsidR="00C9094A">
        <w:rPr>
          <w:b/>
        </w:rPr>
        <w:t>Figures</w:t>
      </w:r>
    </w:p>
    <w:p w14:paraId="0B3BE46A" w14:textId="044074FA" w:rsidR="00C9094A" w:rsidRDefault="00C9094A" w:rsidP="00C9094A">
      <w:r>
        <w:t xml:space="preserve">I. </w:t>
      </w:r>
      <w:r w:rsidR="00891CAE">
        <w:t>The mean a</w:t>
      </w:r>
      <w:r>
        <w:t>verage gender pay gap</w:t>
      </w:r>
      <w:r w:rsidR="00891CAE">
        <w:t xml:space="preserve"> is </w:t>
      </w:r>
      <w:r w:rsidR="00891CAE" w:rsidRPr="00891CAE">
        <w:rPr>
          <w:b/>
        </w:rPr>
        <w:t>1</w:t>
      </w:r>
      <w:r w:rsidR="00F9669C">
        <w:rPr>
          <w:b/>
        </w:rPr>
        <w:t>4</w:t>
      </w:r>
      <w:r w:rsidR="00C02B92">
        <w:rPr>
          <w:b/>
        </w:rPr>
        <w:t>.</w:t>
      </w:r>
      <w:r w:rsidR="00F9669C">
        <w:rPr>
          <w:b/>
        </w:rPr>
        <w:t>6</w:t>
      </w:r>
      <w:r w:rsidR="00891CAE" w:rsidRPr="00891CAE">
        <w:rPr>
          <w:b/>
        </w:rPr>
        <w:t>%</w:t>
      </w:r>
      <w:r>
        <w:t>:</w:t>
      </w:r>
    </w:p>
    <w:p w14:paraId="13B67CF2" w14:textId="6A64E642" w:rsidR="00C9094A" w:rsidRPr="00524796" w:rsidRDefault="00C9094A" w:rsidP="00C9094A">
      <w:pPr>
        <w:pStyle w:val="ListParagraph"/>
        <w:ind w:left="1440"/>
      </w:pPr>
      <w:r>
        <w:t>M</w:t>
      </w:r>
      <w:r w:rsidR="003F3472">
        <w:t>ean m</w:t>
      </w:r>
      <w:r>
        <w:t>ale e</w:t>
      </w:r>
      <w:r w:rsidR="007B7622">
        <w:t xml:space="preserve">mployees’ </w:t>
      </w:r>
      <w:r w:rsidR="007B7622" w:rsidRPr="00524796">
        <w:t>hourly rate: £</w:t>
      </w:r>
      <w:r w:rsidR="00F9669C">
        <w:t>20</w:t>
      </w:r>
      <w:r w:rsidR="00C02B92">
        <w:t>.</w:t>
      </w:r>
      <w:r w:rsidR="00F9669C">
        <w:t>90</w:t>
      </w:r>
      <w:r w:rsidRPr="00524796">
        <w:t>;</w:t>
      </w:r>
    </w:p>
    <w:p w14:paraId="5AE3F97F" w14:textId="54D87FA4" w:rsidR="00C9094A" w:rsidRPr="00524796" w:rsidRDefault="003F3472" w:rsidP="00C9094A">
      <w:pPr>
        <w:pStyle w:val="ListParagraph"/>
        <w:ind w:left="1440"/>
      </w:pPr>
      <w:r w:rsidRPr="00524796">
        <w:t>Mean f</w:t>
      </w:r>
      <w:r w:rsidR="00C9094A" w:rsidRPr="00524796">
        <w:t>emale employees’ hourly rate: £1</w:t>
      </w:r>
      <w:r w:rsidR="00F9669C">
        <w:t>7</w:t>
      </w:r>
      <w:r w:rsidR="00C02B92">
        <w:t>.</w:t>
      </w:r>
      <w:r w:rsidR="00F9669C">
        <w:t>84</w:t>
      </w:r>
      <w:r w:rsidR="00C9094A" w:rsidRPr="00524796">
        <w:t>;</w:t>
      </w:r>
    </w:p>
    <w:p w14:paraId="76E77611" w14:textId="05C924E7" w:rsidR="00C9094A" w:rsidRDefault="00C9094A" w:rsidP="00C9094A">
      <w:pPr>
        <w:spacing w:after="0"/>
        <w:ind w:left="357"/>
      </w:pPr>
      <w:r w:rsidRPr="00524796">
        <w:t xml:space="preserve">Using the mean calculation, male employees are paid </w:t>
      </w:r>
      <w:r w:rsidR="007B7622" w:rsidRPr="00524796">
        <w:t>£</w:t>
      </w:r>
      <w:r w:rsidR="00C02B92">
        <w:t>3.</w:t>
      </w:r>
      <w:r w:rsidR="00F9669C">
        <w:t>06</w:t>
      </w:r>
      <w:r w:rsidRPr="00524796">
        <w:t xml:space="preserve"> </w:t>
      </w:r>
      <w:r>
        <w:t>per hour more than femal</w:t>
      </w:r>
      <w:r w:rsidR="00CB0BBE">
        <w:t>e</w:t>
      </w:r>
      <w:r>
        <w:t xml:space="preserve">s. </w:t>
      </w:r>
    </w:p>
    <w:p w14:paraId="28A970D3" w14:textId="77777777" w:rsidR="00C9094A" w:rsidRDefault="00C9094A" w:rsidP="00C9094A">
      <w:pPr>
        <w:spacing w:after="0"/>
      </w:pPr>
    </w:p>
    <w:p w14:paraId="256C2281" w14:textId="75F34893" w:rsidR="00C9094A" w:rsidRDefault="00C9094A" w:rsidP="00C9094A">
      <w:r>
        <w:t xml:space="preserve">II. </w:t>
      </w:r>
      <w:r w:rsidR="00891CAE">
        <w:t>The median a</w:t>
      </w:r>
      <w:r>
        <w:t xml:space="preserve">verage gender pay gap </w:t>
      </w:r>
      <w:r w:rsidR="00891CAE">
        <w:t xml:space="preserve">is </w:t>
      </w:r>
      <w:r w:rsidR="00891CAE" w:rsidRPr="00891CAE">
        <w:rPr>
          <w:b/>
        </w:rPr>
        <w:t>1</w:t>
      </w:r>
      <w:r w:rsidR="00F9669C">
        <w:rPr>
          <w:b/>
        </w:rPr>
        <w:t>5</w:t>
      </w:r>
      <w:r w:rsidR="00580188">
        <w:rPr>
          <w:b/>
        </w:rPr>
        <w:t>.</w:t>
      </w:r>
      <w:r w:rsidR="00F9669C">
        <w:rPr>
          <w:b/>
        </w:rPr>
        <w:t>3</w:t>
      </w:r>
      <w:r w:rsidR="00891CAE" w:rsidRPr="00891CAE">
        <w:rPr>
          <w:b/>
        </w:rPr>
        <w:t>%</w:t>
      </w:r>
      <w:r>
        <w:t>:</w:t>
      </w:r>
    </w:p>
    <w:p w14:paraId="407472D3" w14:textId="246A7E69" w:rsidR="00C9094A" w:rsidRPr="00524796" w:rsidRDefault="00C9094A" w:rsidP="00C9094A">
      <w:pPr>
        <w:pStyle w:val="ListParagraph"/>
        <w:ind w:left="1440"/>
      </w:pPr>
      <w:r>
        <w:t>M</w:t>
      </w:r>
      <w:r w:rsidR="003F3472">
        <w:t xml:space="preserve">edian </w:t>
      </w:r>
      <w:r w:rsidR="003F3472" w:rsidRPr="00524796">
        <w:t>m</w:t>
      </w:r>
      <w:r w:rsidRPr="00524796">
        <w:t>al</w:t>
      </w:r>
      <w:r w:rsidR="007B7622" w:rsidRPr="00524796">
        <w:t>e employees’ hourly rate: £1</w:t>
      </w:r>
      <w:r w:rsidR="00F9669C">
        <w:t>5</w:t>
      </w:r>
      <w:r w:rsidR="00580188">
        <w:t>.</w:t>
      </w:r>
      <w:r w:rsidR="00F9669C">
        <w:t>84</w:t>
      </w:r>
      <w:r w:rsidRPr="00524796">
        <w:t xml:space="preserve">; </w:t>
      </w:r>
    </w:p>
    <w:p w14:paraId="4E65D8D3" w14:textId="25406899" w:rsidR="00C9094A" w:rsidRPr="00524796" w:rsidRDefault="003F3472" w:rsidP="00C9094A">
      <w:pPr>
        <w:pStyle w:val="ListParagraph"/>
        <w:ind w:left="1440"/>
      </w:pPr>
      <w:r w:rsidRPr="00524796">
        <w:t>Median f</w:t>
      </w:r>
      <w:r w:rsidR="00C9094A" w:rsidRPr="00524796">
        <w:t>e</w:t>
      </w:r>
      <w:r w:rsidR="007B7622" w:rsidRPr="00524796">
        <w:t>male employees’ hourly rate: £1</w:t>
      </w:r>
      <w:r w:rsidR="00F9669C">
        <w:t>3</w:t>
      </w:r>
      <w:r w:rsidR="00580188">
        <w:t>.</w:t>
      </w:r>
      <w:r w:rsidR="00F9669C">
        <w:t>41</w:t>
      </w:r>
      <w:r w:rsidR="00C9094A" w:rsidRPr="00524796">
        <w:t>;</w:t>
      </w:r>
    </w:p>
    <w:p w14:paraId="343BFE21" w14:textId="0616EF66" w:rsidR="00C9094A" w:rsidRDefault="00C9094A" w:rsidP="00953917">
      <w:pPr>
        <w:spacing w:after="0"/>
        <w:ind w:left="357"/>
      </w:pPr>
      <w:r>
        <w:t>Using the median calcula</w:t>
      </w:r>
      <w:r w:rsidR="007B7622">
        <w:t>tion, male employees are paid £</w:t>
      </w:r>
      <w:r w:rsidR="006B5A4F">
        <w:t>2</w:t>
      </w:r>
      <w:r w:rsidR="007B7622" w:rsidRPr="00953917">
        <w:t>.</w:t>
      </w:r>
      <w:r w:rsidR="00C02B92">
        <w:t>4</w:t>
      </w:r>
      <w:r w:rsidR="00F9669C">
        <w:t>3</w:t>
      </w:r>
      <w:r>
        <w:t xml:space="preserve"> per hour more than females. </w:t>
      </w:r>
    </w:p>
    <w:p w14:paraId="38EABDC6" w14:textId="77777777" w:rsidR="00D10C17" w:rsidRDefault="00D10C17" w:rsidP="00953917">
      <w:pPr>
        <w:spacing w:after="0"/>
        <w:ind w:left="357"/>
      </w:pPr>
    </w:p>
    <w:p w14:paraId="6382ADE7" w14:textId="207F24BB" w:rsidR="00CB0F15" w:rsidRDefault="00C9094A" w:rsidP="001A462A">
      <w:pPr>
        <w:spacing w:after="0"/>
      </w:pPr>
      <w:r>
        <w:t xml:space="preserve">III. Average bonus </w:t>
      </w:r>
      <w:r w:rsidR="008D69AD">
        <w:t xml:space="preserve">gender pay gap </w:t>
      </w:r>
      <w:r w:rsidR="00F40A50">
        <w:t>–</w:t>
      </w:r>
      <w:r w:rsidR="008D69AD">
        <w:t xml:space="preserve"> not applicable</w:t>
      </w:r>
      <w:r w:rsidR="00F40A50">
        <w:t xml:space="preserve"> because </w:t>
      </w:r>
      <w:r>
        <w:t xml:space="preserve">no bonus is paid. </w:t>
      </w:r>
    </w:p>
    <w:p w14:paraId="38225498" w14:textId="4C2E83CD" w:rsidR="00C9094A" w:rsidRDefault="00953917" w:rsidP="00C9094A">
      <w:r>
        <w:lastRenderedPageBreak/>
        <w:t>I</w:t>
      </w:r>
      <w:r w:rsidR="00C9094A">
        <w:t>V.</w:t>
      </w:r>
      <w:r w:rsidR="003E096A">
        <w:t xml:space="preserve">  </w:t>
      </w:r>
      <w:r w:rsidR="00C9094A">
        <w:t xml:space="preserve">The proportion of males and females divided into four groups </w:t>
      </w:r>
      <w:r w:rsidR="00904581">
        <w:t xml:space="preserve">and </w:t>
      </w:r>
      <w:r w:rsidR="00C9094A">
        <w:t>ordered from the lowest to highest pay:</w:t>
      </w:r>
    </w:p>
    <w:tbl>
      <w:tblPr>
        <w:tblW w:w="8260" w:type="dxa"/>
        <w:tblInd w:w="388" w:type="dxa"/>
        <w:tblLook w:val="04A0" w:firstRow="1" w:lastRow="0" w:firstColumn="1" w:lastColumn="0" w:noHBand="0" w:noVBand="1"/>
      </w:tblPr>
      <w:tblGrid>
        <w:gridCol w:w="3420"/>
        <w:gridCol w:w="1120"/>
        <w:gridCol w:w="1260"/>
        <w:gridCol w:w="1180"/>
        <w:gridCol w:w="1280"/>
      </w:tblGrid>
      <w:tr w:rsidR="00C9094A" w:rsidRPr="006810DF" w14:paraId="34E73C4D" w14:textId="77777777" w:rsidTr="007B7622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41C85" w14:textId="77777777" w:rsidR="00C9094A" w:rsidRPr="0021208F" w:rsidRDefault="00C9094A" w:rsidP="007B7622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</w:pPr>
            <w:r w:rsidRPr="0021208F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 xml:space="preserve">    By Quartile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6D0DD" w14:textId="77777777" w:rsidR="00C9094A" w:rsidRPr="0021208F" w:rsidRDefault="00C9094A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</w:pPr>
            <w:r w:rsidRPr="0021208F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7911D" w14:textId="77777777" w:rsidR="00C9094A" w:rsidRPr="0021208F" w:rsidRDefault="00C9094A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</w:pPr>
            <w:r w:rsidRPr="0021208F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>Female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F5C7" w14:textId="77777777" w:rsidR="00C9094A" w:rsidRPr="0021208F" w:rsidRDefault="00C9094A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</w:pPr>
            <w:r w:rsidRPr="0021208F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>% Male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FB108" w14:textId="77777777" w:rsidR="00C9094A" w:rsidRPr="0021208F" w:rsidRDefault="00C9094A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</w:pPr>
            <w:r w:rsidRPr="0021208F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>% Female</w:t>
            </w:r>
          </w:p>
        </w:tc>
      </w:tr>
      <w:tr w:rsidR="00C9094A" w:rsidRPr="006810DF" w14:paraId="2A289246" w14:textId="77777777" w:rsidTr="007B7622">
        <w:trPr>
          <w:trHeight w:val="290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18E3" w14:textId="77777777" w:rsidR="00C9094A" w:rsidRPr="006810DF" w:rsidRDefault="00C9094A" w:rsidP="007B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Pr="006810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First Quartile (lowest hourly paid)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8350" w14:textId="6FA1670C" w:rsidR="00C9094A" w:rsidRPr="00524796" w:rsidRDefault="00C02B92" w:rsidP="005F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50CA" w14:textId="73A82468" w:rsidR="00C9094A" w:rsidRPr="00524796" w:rsidRDefault="00C02B92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4AD5" w14:textId="5DDAC972" w:rsidR="00C9094A" w:rsidRPr="00524796" w:rsidRDefault="00F9669C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39.7</w:t>
            </w:r>
            <w:r w:rsidR="00C9094A" w:rsidRPr="005247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AFC2" w14:textId="37CBA10E" w:rsidR="00C9094A" w:rsidRPr="00524796" w:rsidRDefault="00F9669C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60.3</w:t>
            </w:r>
            <w:r w:rsidR="00C9094A" w:rsidRPr="005247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C9094A" w:rsidRPr="006810DF" w14:paraId="0C68CEA4" w14:textId="77777777" w:rsidTr="007B7622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5760" w14:textId="77777777" w:rsidR="00C9094A" w:rsidRPr="006810DF" w:rsidRDefault="00C9094A" w:rsidP="007B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Pr="006810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Second Quartile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F6CF" w14:textId="48D1A998" w:rsidR="00C9094A" w:rsidRPr="00524796" w:rsidRDefault="00C02B92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43A2" w14:textId="4F8C5FDD" w:rsidR="00C9094A" w:rsidRPr="00524796" w:rsidRDefault="00F9669C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6EED" w14:textId="63813C31" w:rsidR="00C9094A" w:rsidRPr="00524796" w:rsidRDefault="00C02B92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8.2</w:t>
            </w:r>
            <w:r w:rsidR="00C9094A" w:rsidRPr="005247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421B" w14:textId="50612605" w:rsidR="00C9094A" w:rsidRPr="00524796" w:rsidRDefault="00C02B92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1.8</w:t>
            </w:r>
            <w:r w:rsidR="00C9094A" w:rsidRPr="005247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C9094A" w:rsidRPr="006810DF" w14:paraId="6D9F5C78" w14:textId="77777777" w:rsidTr="007B7622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3256" w14:textId="77777777" w:rsidR="00C9094A" w:rsidRPr="006810DF" w:rsidRDefault="00C9094A" w:rsidP="007B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Pr="006810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Third Quartile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CF07" w14:textId="4BDFBCDC" w:rsidR="00C9094A" w:rsidRPr="00524796" w:rsidRDefault="00C02B92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2BD1" w14:textId="380B169C" w:rsidR="00C9094A" w:rsidRPr="00524796" w:rsidRDefault="00C02B92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B675" w14:textId="5B439981" w:rsidR="00C9094A" w:rsidRPr="00524796" w:rsidRDefault="00C02B92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</w:t>
            </w:r>
            <w:r w:rsidR="00C9094A" w:rsidRPr="005247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95EC" w14:textId="664E4874" w:rsidR="00C9094A" w:rsidRPr="00524796" w:rsidRDefault="00C02B92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1.6</w:t>
            </w:r>
            <w:r w:rsidR="00C9094A" w:rsidRPr="005247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C9094A" w:rsidRPr="006810DF" w14:paraId="0E31D560" w14:textId="77777777" w:rsidTr="007B7622">
        <w:trPr>
          <w:trHeight w:val="2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4A5A" w14:textId="77777777" w:rsidR="00C9094A" w:rsidRPr="006810DF" w:rsidRDefault="00C9094A" w:rsidP="007B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Pr="006810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Fourth Quartile (highest hourly paid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21C1" w14:textId="4EBB5773" w:rsidR="00C9094A" w:rsidRPr="00524796" w:rsidRDefault="00C02B92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D8C3" w14:textId="62A905F7" w:rsidR="00C9094A" w:rsidRPr="00524796" w:rsidRDefault="00C02B92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56AE" w14:textId="7FD4EA56" w:rsidR="00C9094A" w:rsidRPr="00524796" w:rsidRDefault="00580188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5.8</w:t>
            </w:r>
            <w:r w:rsidR="00C9094A" w:rsidRPr="005247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20A3" w14:textId="6D418C1F" w:rsidR="00C9094A" w:rsidRPr="00524796" w:rsidRDefault="00580188" w:rsidP="007B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F96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4.2</w:t>
            </w:r>
            <w:r w:rsidR="00C9094A" w:rsidRPr="005247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</w:tbl>
    <w:p w14:paraId="71487982" w14:textId="77777777" w:rsidR="001B096A" w:rsidRDefault="00C9094A" w:rsidP="001B096A">
      <w:pPr>
        <w:pStyle w:val="p2"/>
        <w:spacing w:after="0"/>
        <w:rPr>
          <w:rStyle w:val="s1"/>
        </w:rPr>
      </w:pPr>
      <w:r>
        <w:rPr>
          <w:b/>
        </w:rPr>
        <w:t xml:space="preserve">3. </w:t>
      </w:r>
      <w:r w:rsidR="00342ACE">
        <w:rPr>
          <w:b/>
        </w:rPr>
        <w:t>Key Points</w:t>
      </w:r>
      <w:r w:rsidR="001B096A" w:rsidRPr="001B096A">
        <w:rPr>
          <w:rStyle w:val="s1"/>
        </w:rPr>
        <w:t xml:space="preserve"> </w:t>
      </w:r>
    </w:p>
    <w:p w14:paraId="7887D432" w14:textId="37CB071A" w:rsidR="001B096A" w:rsidRPr="001B096A" w:rsidRDefault="001B096A" w:rsidP="001B096A">
      <w:pPr>
        <w:pStyle w:val="p2"/>
        <w:spacing w:after="0"/>
      </w:pPr>
      <w:r>
        <w:t>The 2023 report demonstrates som</w:t>
      </w:r>
      <w:r w:rsidR="003E096A">
        <w:t xml:space="preserve">e </w:t>
      </w:r>
      <w:r>
        <w:t>steady progress in the reduction of the gender pay gap at Univ</w:t>
      </w:r>
      <w:r w:rsidR="003E096A">
        <w:t>.</w:t>
      </w:r>
    </w:p>
    <w:p w14:paraId="52C446B5" w14:textId="77777777" w:rsidR="00DB5A06" w:rsidRDefault="00B47F8D" w:rsidP="001B096A">
      <w:pPr>
        <w:pStyle w:val="ListParagraph"/>
        <w:numPr>
          <w:ilvl w:val="0"/>
          <w:numId w:val="11"/>
        </w:numPr>
        <w:spacing w:after="0"/>
        <w:rPr>
          <w:rStyle w:val="s2"/>
        </w:rPr>
      </w:pPr>
      <w:r w:rsidRPr="00BA32C6">
        <w:rPr>
          <w:rStyle w:val="s2"/>
        </w:rPr>
        <w:t xml:space="preserve">The </w:t>
      </w:r>
      <w:r w:rsidRPr="001B096A">
        <w:rPr>
          <w:rStyle w:val="s2"/>
          <w:rFonts w:ascii="Calibri" w:hAnsi="Calibri" w:cs="Calibri"/>
          <w:lang w:eastAsia="en-GB"/>
        </w:rPr>
        <w:t>mean gender pay gap</w:t>
      </w:r>
      <w:r w:rsidRPr="00BA32C6">
        <w:rPr>
          <w:rStyle w:val="s2"/>
        </w:rPr>
        <w:t xml:space="preserve"> </w:t>
      </w:r>
      <w:r w:rsidR="00DB5A06">
        <w:rPr>
          <w:rStyle w:val="s2"/>
        </w:rPr>
        <w:t>has</w:t>
      </w:r>
      <w:r w:rsidRPr="00BA32C6">
        <w:rPr>
          <w:rStyle w:val="s2"/>
        </w:rPr>
        <w:t xml:space="preserve"> </w:t>
      </w:r>
      <w:r w:rsidR="00F9669C">
        <w:rPr>
          <w:rStyle w:val="s2"/>
        </w:rPr>
        <w:t>de</w:t>
      </w:r>
      <w:r w:rsidRPr="00BA32C6">
        <w:rPr>
          <w:rStyle w:val="s2"/>
        </w:rPr>
        <w:t>crease</w:t>
      </w:r>
      <w:r w:rsidR="00DB5A06">
        <w:rPr>
          <w:rStyle w:val="s2"/>
        </w:rPr>
        <w:t>d this year from 19.2% to 14.6%</w:t>
      </w:r>
      <w:r w:rsidRPr="00BA32C6">
        <w:rPr>
          <w:rStyle w:val="s2"/>
        </w:rPr>
        <w:t>.</w:t>
      </w:r>
    </w:p>
    <w:p w14:paraId="04FDA8AE" w14:textId="77777777" w:rsidR="00DB5A06" w:rsidRDefault="00DB5A06" w:rsidP="00B47F8D">
      <w:pPr>
        <w:spacing w:after="0"/>
        <w:rPr>
          <w:rStyle w:val="s2"/>
        </w:rPr>
      </w:pPr>
    </w:p>
    <w:p w14:paraId="64D20102" w14:textId="2F833A06" w:rsidR="00B47F8D" w:rsidRPr="001B096A" w:rsidRDefault="00B47F8D" w:rsidP="001B096A">
      <w:pPr>
        <w:pStyle w:val="ListParagraph"/>
        <w:numPr>
          <w:ilvl w:val="0"/>
          <w:numId w:val="11"/>
        </w:numPr>
        <w:spacing w:after="0"/>
        <w:rPr>
          <w:rStyle w:val="s2"/>
          <w:rFonts w:ascii="Calibri" w:hAnsi="Calibri" w:cs="Calibri"/>
          <w:lang w:eastAsia="en-GB"/>
        </w:rPr>
      </w:pPr>
      <w:r w:rsidRPr="001B096A">
        <w:rPr>
          <w:rStyle w:val="s2"/>
          <w:rFonts w:ascii="Calibri" w:hAnsi="Calibri" w:cs="Calibri"/>
          <w:lang w:eastAsia="en-GB"/>
        </w:rPr>
        <w:t xml:space="preserve">The median </w:t>
      </w:r>
      <w:r w:rsidR="00DB5A06" w:rsidRPr="001B096A">
        <w:rPr>
          <w:rFonts w:ascii="Calibri" w:hAnsi="Calibri" w:cs="Calibri"/>
          <w:lang w:eastAsia="en-GB"/>
        </w:rPr>
        <w:t xml:space="preserve">gender pay gap </w:t>
      </w:r>
      <w:r w:rsidR="00DB5A06" w:rsidRPr="001B096A">
        <w:rPr>
          <w:rStyle w:val="s2"/>
          <w:rFonts w:ascii="Calibri" w:hAnsi="Calibri" w:cs="Calibri"/>
          <w:lang w:eastAsia="en-GB"/>
        </w:rPr>
        <w:t>has reduced from 18.1% to 15.3%</w:t>
      </w:r>
      <w:r w:rsidR="003E096A">
        <w:rPr>
          <w:rStyle w:val="s2"/>
          <w:rFonts w:ascii="Calibri" w:hAnsi="Calibri" w:cs="Calibri"/>
          <w:lang w:eastAsia="en-GB"/>
        </w:rPr>
        <w:t>.</w:t>
      </w:r>
    </w:p>
    <w:p w14:paraId="43D9B828" w14:textId="77777777" w:rsidR="001B096A" w:rsidRDefault="001B096A" w:rsidP="001B096A">
      <w:pPr>
        <w:pStyle w:val="p2"/>
        <w:spacing w:before="0" w:beforeAutospacing="0" w:after="0" w:afterAutospacing="0"/>
        <w:rPr>
          <w:rStyle w:val="s1"/>
        </w:rPr>
      </w:pPr>
    </w:p>
    <w:p w14:paraId="1B257577" w14:textId="261CBEA8" w:rsidR="001B096A" w:rsidRPr="0001583B" w:rsidRDefault="001B096A" w:rsidP="001B096A">
      <w:pPr>
        <w:pStyle w:val="p2"/>
        <w:spacing w:before="0" w:beforeAutospacing="0" w:after="0" w:afterAutospacing="0"/>
        <w:rPr>
          <w:rStyle w:val="s1"/>
        </w:rPr>
      </w:pPr>
      <w:r w:rsidRPr="0001583B">
        <w:rPr>
          <w:rStyle w:val="s1"/>
        </w:rPr>
        <w:t>The introduction of the Oxford Living Wage, continues to increase the hourly rate of pay for the lowest paid workers.</w:t>
      </w:r>
      <w:r w:rsidR="003E096A">
        <w:rPr>
          <w:rStyle w:val="s1"/>
        </w:rPr>
        <w:t xml:space="preserve">  </w:t>
      </w:r>
      <w:r w:rsidRPr="0001583B">
        <w:rPr>
          <w:rStyle w:val="s1"/>
        </w:rPr>
        <w:t xml:space="preserve">Female employees make up the majority of the College’s workforce and most are at the lower grade. </w:t>
      </w:r>
    </w:p>
    <w:p w14:paraId="17141FB5" w14:textId="076097BC" w:rsidR="00880091" w:rsidRDefault="001B096A" w:rsidP="00DB5A06">
      <w:pPr>
        <w:pStyle w:val="p2"/>
        <w:spacing w:after="0"/>
        <w:rPr>
          <w:rStyle w:val="s1"/>
        </w:rPr>
      </w:pPr>
      <w:r>
        <w:rPr>
          <w:rStyle w:val="s1"/>
        </w:rPr>
        <w:t>However, i</w:t>
      </w:r>
      <w:r w:rsidR="00880091">
        <w:rPr>
          <w:rStyle w:val="s1"/>
        </w:rPr>
        <w:t xml:space="preserve">f we narrow </w:t>
      </w:r>
      <w:r>
        <w:rPr>
          <w:rStyle w:val="s1"/>
        </w:rPr>
        <w:t xml:space="preserve">the data down to look at different occupational/pay groups in the College, </w:t>
      </w:r>
      <w:r w:rsidR="00CE2504">
        <w:rPr>
          <w:rStyle w:val="s1"/>
        </w:rPr>
        <w:t xml:space="preserve">(see </w:t>
      </w:r>
      <w:r w:rsidR="003E096A" w:rsidRPr="003E096A">
        <w:rPr>
          <w:rStyle w:val="s1"/>
          <w:u w:val="single"/>
        </w:rPr>
        <w:t>A</w:t>
      </w:r>
      <w:r w:rsidR="00CE2504" w:rsidRPr="003E096A">
        <w:rPr>
          <w:rStyle w:val="s1"/>
          <w:u w:val="single"/>
        </w:rPr>
        <w:t>ppendix 1</w:t>
      </w:r>
      <w:r w:rsidR="00CE2504">
        <w:rPr>
          <w:rStyle w:val="s1"/>
        </w:rPr>
        <w:t xml:space="preserve">) </w:t>
      </w:r>
      <w:r>
        <w:rPr>
          <w:rStyle w:val="s1"/>
        </w:rPr>
        <w:t>the key points are</w:t>
      </w:r>
    </w:p>
    <w:p w14:paraId="7509BCFF" w14:textId="397ECE8F" w:rsidR="001B096A" w:rsidRDefault="001B096A" w:rsidP="001B096A">
      <w:pPr>
        <w:pStyle w:val="ListParagraph"/>
        <w:numPr>
          <w:ilvl w:val="0"/>
          <w:numId w:val="11"/>
        </w:numPr>
        <w:spacing w:after="0"/>
        <w:rPr>
          <w:rStyle w:val="s2"/>
        </w:rPr>
      </w:pPr>
      <w:r w:rsidRPr="001B096A">
        <w:rPr>
          <w:rStyle w:val="s2"/>
        </w:rPr>
        <w:t xml:space="preserve">The gender pay gap is highest in the Tuition and Administration worker groups since we started reporting.  </w:t>
      </w:r>
    </w:p>
    <w:p w14:paraId="50C71420" w14:textId="77777777" w:rsidR="001B096A" w:rsidRPr="001B096A" w:rsidRDefault="001B096A" w:rsidP="001B096A">
      <w:pPr>
        <w:pStyle w:val="ListParagraph"/>
        <w:spacing w:after="0"/>
        <w:rPr>
          <w:rStyle w:val="s2"/>
        </w:rPr>
      </w:pPr>
    </w:p>
    <w:p w14:paraId="3A3C67CE" w14:textId="707DCFE7" w:rsidR="001B096A" w:rsidRPr="001B096A" w:rsidRDefault="00E4094A" w:rsidP="001B096A">
      <w:pPr>
        <w:pStyle w:val="ListParagraph"/>
        <w:numPr>
          <w:ilvl w:val="0"/>
          <w:numId w:val="11"/>
        </w:numPr>
        <w:spacing w:after="0"/>
        <w:rPr>
          <w:rStyle w:val="s2"/>
        </w:rPr>
      </w:pPr>
      <w:r>
        <w:rPr>
          <w:rStyle w:val="s2"/>
        </w:rPr>
        <w:t>T</w:t>
      </w:r>
      <w:r w:rsidR="001B096A" w:rsidRPr="001B096A">
        <w:rPr>
          <w:rStyle w:val="s2"/>
        </w:rPr>
        <w:t>he mean gender pay gap has increased this year from 14.3% to 22.5% in the Tuition group.  It has also increased slightly from 17.5%% to 18.7% in the Admin</w:t>
      </w:r>
      <w:r w:rsidR="00C8710D">
        <w:rPr>
          <w:rStyle w:val="s2"/>
        </w:rPr>
        <w:t>istration</w:t>
      </w:r>
      <w:r w:rsidR="001B096A" w:rsidRPr="001B096A">
        <w:rPr>
          <w:rStyle w:val="s2"/>
        </w:rPr>
        <w:t xml:space="preserve"> group</w:t>
      </w:r>
      <w:r w:rsidR="00C8710D">
        <w:rPr>
          <w:rStyle w:val="s2"/>
        </w:rPr>
        <w:t>.</w:t>
      </w:r>
    </w:p>
    <w:p w14:paraId="4C64E2B4" w14:textId="33D9F0D1" w:rsidR="004B4963" w:rsidRDefault="004B4963" w:rsidP="001B096A">
      <w:pPr>
        <w:pStyle w:val="p2"/>
        <w:spacing w:after="0"/>
      </w:pPr>
      <w:r w:rsidRPr="004B4963">
        <w:t xml:space="preserve">There were more female staff this year (42) than last year (33) in the Tuition group.  </w:t>
      </w:r>
      <w:r>
        <w:t>Within this group, t</w:t>
      </w:r>
      <w:r w:rsidRPr="004B4963">
        <w:t>he pay rate is the same for all the out</w:t>
      </w:r>
      <w:r>
        <w:t>-</w:t>
      </w:r>
      <w:r w:rsidRPr="004B4963">
        <w:t>college tutors but it is different for non-stipendiaries</w:t>
      </w:r>
      <w:r>
        <w:t>.</w:t>
      </w:r>
      <w:r w:rsidRPr="004B4963">
        <w:t xml:space="preserve"> The possible explanation for the gender </w:t>
      </w:r>
      <w:proofErr w:type="gramStart"/>
      <w:r w:rsidRPr="004B4963">
        <w:t>pay</w:t>
      </w:r>
      <w:proofErr w:type="gramEnd"/>
      <w:r w:rsidRPr="004B4963">
        <w:t xml:space="preserve"> gap figure is that there are more males being hired as non-stipendiaries than female</w:t>
      </w:r>
      <w:r>
        <w:t>s.</w:t>
      </w:r>
    </w:p>
    <w:p w14:paraId="6D730BFA" w14:textId="7B30B381" w:rsidR="00B47F8D" w:rsidRPr="0001583B" w:rsidRDefault="001B096A" w:rsidP="003E096A">
      <w:pPr>
        <w:pStyle w:val="p2"/>
        <w:spacing w:after="0"/>
        <w:rPr>
          <w:rStyle w:val="s1"/>
        </w:rPr>
      </w:pPr>
      <w:r>
        <w:rPr>
          <w:rStyle w:val="s1"/>
        </w:rPr>
        <w:t>As noted, the College’s gender pay gap is a result of having more males than females in the senior and higher paying roles.  It is also a reflection of the higher number of women working in lower paid and part time jobs.  </w:t>
      </w:r>
      <w:r w:rsidR="001F6C20" w:rsidRPr="003E096A">
        <w:rPr>
          <w:rStyle w:val="s1"/>
        </w:rPr>
        <w:t xml:space="preserve">The College continues to develop and pursue plans to </w:t>
      </w:r>
      <w:r w:rsidR="001F6C20">
        <w:rPr>
          <w:rStyle w:val="s1"/>
        </w:rPr>
        <w:t>i</w:t>
      </w:r>
      <w:r w:rsidR="001F6C20" w:rsidRPr="0001583B">
        <w:rPr>
          <w:rStyle w:val="s1"/>
        </w:rPr>
        <w:t>mprove gender balance at the highest levels (academic/senior management roles</w:t>
      </w:r>
      <w:r w:rsidR="003E096A">
        <w:rPr>
          <w:rStyle w:val="s1"/>
        </w:rPr>
        <w:t xml:space="preserve">. This includes </w:t>
      </w:r>
      <w:r w:rsidR="003E096A" w:rsidRPr="0001583B">
        <w:rPr>
          <w:rStyle w:val="s1"/>
        </w:rPr>
        <w:t>uphold</w:t>
      </w:r>
      <w:r w:rsidR="003E096A">
        <w:rPr>
          <w:rStyle w:val="s1"/>
        </w:rPr>
        <w:t>ing</w:t>
      </w:r>
      <w:r w:rsidR="003E096A" w:rsidRPr="0001583B">
        <w:rPr>
          <w:rStyle w:val="s1"/>
        </w:rPr>
        <w:t xml:space="preserve"> an environment in which equality of treatment is maintained; </w:t>
      </w:r>
      <w:r w:rsidR="003E096A">
        <w:rPr>
          <w:rStyle w:val="s1"/>
        </w:rPr>
        <w:t xml:space="preserve">providing flexible working where possible; and </w:t>
      </w:r>
      <w:r w:rsidR="003E096A" w:rsidRPr="0001583B">
        <w:rPr>
          <w:rStyle w:val="s1"/>
        </w:rPr>
        <w:t>challeng</w:t>
      </w:r>
      <w:r w:rsidR="003E096A">
        <w:rPr>
          <w:rStyle w:val="s1"/>
        </w:rPr>
        <w:t>ing</w:t>
      </w:r>
      <w:r w:rsidR="003E096A" w:rsidRPr="0001583B">
        <w:rPr>
          <w:rStyle w:val="s1"/>
        </w:rPr>
        <w:t xml:space="preserve"> heads/managers on practices impacting the gender balance/pay gap. </w:t>
      </w:r>
    </w:p>
    <w:p w14:paraId="62EF1B78" w14:textId="77777777" w:rsidR="00C9094A" w:rsidRDefault="004B10B5" w:rsidP="00C9094A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4. </w:t>
      </w:r>
      <w:r w:rsidR="00C9094A" w:rsidRPr="00B51FF0">
        <w:rPr>
          <w:rFonts w:eastAsia="Times New Roman" w:cs="Times New Roman"/>
          <w:b/>
          <w:bCs/>
          <w:color w:val="000000"/>
        </w:rPr>
        <w:t>Declaration</w:t>
      </w:r>
    </w:p>
    <w:p w14:paraId="09FDC1F5" w14:textId="77777777" w:rsidR="00C9094A" w:rsidRPr="00B51FF0" w:rsidRDefault="00C9094A" w:rsidP="00C9094A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14:paraId="6706950A" w14:textId="77777777" w:rsidR="00C9094A" w:rsidRPr="00B51FF0" w:rsidRDefault="00C9094A" w:rsidP="00C9094A">
      <w:p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B51FF0">
        <w:rPr>
          <w:rFonts w:eastAsia="Times New Roman" w:cs="Times New Roman"/>
          <w:i/>
          <w:iCs/>
          <w:color w:val="000000"/>
          <w:lang w:val="en-US"/>
        </w:rPr>
        <w:t>I confirm that the information in this report is accurate and prepared in accordance with the Equality Act 2010 (Gender Pay Gap Information) Regulations 2017.</w:t>
      </w:r>
    </w:p>
    <w:p w14:paraId="568E6FAD" w14:textId="77777777" w:rsidR="008F212F" w:rsidRDefault="008F212F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3B3AA905" w14:textId="01A32C22" w:rsidR="00BA32C6" w:rsidRDefault="00FA1EF8" w:rsidP="00C9094A">
      <w:pPr>
        <w:spacing w:after="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Alan Tewungwa</w:t>
      </w:r>
    </w:p>
    <w:p w14:paraId="6BE0BCE3" w14:textId="2BB56742" w:rsidR="00FA1EF8" w:rsidRDefault="00BA53DB" w:rsidP="00C9094A">
      <w:pPr>
        <w:spacing w:after="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HR Manager</w:t>
      </w:r>
    </w:p>
    <w:p w14:paraId="1668D450" w14:textId="107A335E" w:rsidR="00E942D1" w:rsidRDefault="001A462A" w:rsidP="00C9094A">
      <w:pPr>
        <w:spacing w:after="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4</w:t>
      </w:r>
      <w:r w:rsidR="005F0849" w:rsidRPr="00524796">
        <w:rPr>
          <w:rFonts w:eastAsia="Times New Roman" w:cs="Times New Roman"/>
          <w:b/>
          <w:bCs/>
          <w:color w:val="000000"/>
        </w:rPr>
        <w:t xml:space="preserve"> </w:t>
      </w:r>
      <w:r w:rsidR="00580188">
        <w:rPr>
          <w:rFonts w:eastAsia="Times New Roman" w:cs="Times New Roman"/>
          <w:b/>
          <w:bCs/>
          <w:color w:val="000000"/>
        </w:rPr>
        <w:t>April</w:t>
      </w:r>
      <w:r>
        <w:rPr>
          <w:rFonts w:eastAsia="Times New Roman" w:cs="Times New Roman"/>
          <w:b/>
          <w:bCs/>
          <w:color w:val="000000"/>
        </w:rPr>
        <w:t xml:space="preserve"> </w:t>
      </w:r>
      <w:r w:rsidR="005F0849" w:rsidRPr="00524796">
        <w:rPr>
          <w:rFonts w:eastAsia="Times New Roman" w:cs="Times New Roman"/>
          <w:b/>
          <w:bCs/>
          <w:color w:val="000000"/>
        </w:rPr>
        <w:t>20</w:t>
      </w:r>
      <w:r>
        <w:rPr>
          <w:rFonts w:eastAsia="Times New Roman" w:cs="Times New Roman"/>
          <w:b/>
          <w:bCs/>
          <w:color w:val="000000"/>
        </w:rPr>
        <w:t>2</w:t>
      </w:r>
      <w:r w:rsidR="00C8710D">
        <w:rPr>
          <w:rFonts w:eastAsia="Times New Roman" w:cs="Times New Roman"/>
          <w:b/>
          <w:bCs/>
          <w:color w:val="000000"/>
        </w:rPr>
        <w:t>4</w:t>
      </w:r>
    </w:p>
    <w:p w14:paraId="2BE9EC2D" w14:textId="48164533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1969A0FA" w14:textId="04515C6F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4053B7FC" w14:textId="66C61816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5896E027" w14:textId="2F22220B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4B80CCB9" w14:textId="63512359" w:rsidR="00E942D1" w:rsidRPr="00C8710D" w:rsidRDefault="00C8710D" w:rsidP="00C8710D">
      <w:pPr>
        <w:spacing w:after="0"/>
        <w:jc w:val="center"/>
        <w:rPr>
          <w:rFonts w:ascii="Arial Black" w:eastAsia="Times New Roman" w:hAnsi="Arial Black" w:cs="Times New Roman"/>
          <w:b/>
          <w:bCs/>
          <w:color w:val="000000"/>
        </w:rPr>
      </w:pPr>
      <w:r w:rsidRPr="00C8710D">
        <w:rPr>
          <w:rFonts w:ascii="Arial Black" w:eastAsia="Times New Roman" w:hAnsi="Arial Black" w:cs="Times New Roman"/>
          <w:b/>
          <w:bCs/>
          <w:color w:val="000000"/>
        </w:rPr>
        <w:t>APPENDICES</w:t>
      </w:r>
    </w:p>
    <w:p w14:paraId="115A3109" w14:textId="4C17D94C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49F806D6" w14:textId="4B2B0B7F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4D64D31D" w14:textId="3003E06B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1FC53D64" w14:textId="65AB64C2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7B455D3C" w14:textId="2F16C32E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174A8345" w14:textId="209AB374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69E32442" w14:textId="49F2DDE1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0536DBC8" w14:textId="249A2F5F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4A180D54" w14:textId="17C423BD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5A9BC36E" w14:textId="24A52E86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6FF6A32B" w14:textId="63DE9650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6D397844" w14:textId="50C7B68C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18B2FDCA" w14:textId="25BEFB90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2AC57A3D" w14:textId="74EF2F1A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16EEFA73" w14:textId="690AC6F2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5D7F2274" w14:textId="7159B599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19989948" w14:textId="0E3D2BD0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5BC67712" w14:textId="67D2C354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1B9C6CE5" w14:textId="5B0A5EF0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37E8FD8C" w14:textId="0053ADF8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2545A8DC" w14:textId="7C6BC860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p w14:paraId="4EE45901" w14:textId="77777777" w:rsidR="00E942D1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  <w:sectPr w:rsidR="00E942D1" w:rsidSect="00E942D1">
          <w:headerReference w:type="firs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2738FB9" w14:textId="77777777" w:rsidR="00E942D1" w:rsidRPr="00E942D1" w:rsidRDefault="00E942D1" w:rsidP="00E942D1">
      <w:pPr>
        <w:jc w:val="center"/>
        <w:rPr>
          <w:rFonts w:ascii="Arial" w:hAnsi="Arial" w:cs="Arial"/>
          <w:b/>
          <w:sz w:val="24"/>
          <w:szCs w:val="24"/>
        </w:rPr>
      </w:pPr>
      <w:r w:rsidRPr="00E942D1">
        <w:rPr>
          <w:rFonts w:ascii="Arial" w:hAnsi="Arial" w:cs="Arial"/>
          <w:b/>
          <w:sz w:val="24"/>
          <w:szCs w:val="24"/>
        </w:rPr>
        <w:lastRenderedPageBreak/>
        <w:t xml:space="preserve">Breakdown by Payrolls </w:t>
      </w:r>
    </w:p>
    <w:tbl>
      <w:tblPr>
        <w:tblW w:w="1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60"/>
        <w:gridCol w:w="740"/>
        <w:gridCol w:w="840"/>
        <w:gridCol w:w="280"/>
        <w:gridCol w:w="748"/>
        <w:gridCol w:w="727"/>
        <w:gridCol w:w="300"/>
        <w:gridCol w:w="885"/>
        <w:gridCol w:w="885"/>
        <w:gridCol w:w="300"/>
        <w:gridCol w:w="989"/>
        <w:gridCol w:w="751"/>
        <w:gridCol w:w="267"/>
        <w:gridCol w:w="992"/>
        <w:gridCol w:w="728"/>
      </w:tblGrid>
      <w:tr w:rsidR="00E942D1" w:rsidRPr="00E942D1" w14:paraId="3C9F35DF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65D5771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5F05C79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gridSpan w:val="2"/>
            <w:shd w:val="clear" w:color="auto" w:fill="auto"/>
            <w:noWrap/>
            <w:vAlign w:val="bottom"/>
            <w:hideMark/>
          </w:tcPr>
          <w:p w14:paraId="5118774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Fellows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A5D40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60" w:type="dxa"/>
            <w:gridSpan w:val="2"/>
            <w:shd w:val="clear" w:color="auto" w:fill="auto"/>
            <w:noWrap/>
            <w:vAlign w:val="bottom"/>
            <w:hideMark/>
          </w:tcPr>
          <w:p w14:paraId="1EC3476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Tuition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4977C8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029245A2" w14:textId="64B1A739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Admin</w:t>
            </w:r>
            <w:r w:rsidR="00051C3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istration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085F67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  <w:hideMark/>
          </w:tcPr>
          <w:p w14:paraId="6E4E4B2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Operations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CA58F3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14:paraId="0674745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Casual</w:t>
            </w:r>
          </w:p>
        </w:tc>
      </w:tr>
      <w:tr w:rsidR="00E942D1" w:rsidRPr="00E942D1" w14:paraId="2E485D1D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2E27BC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5B49F33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4C29B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DE82DA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2D906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208B22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72A8599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80D4C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C6F029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9C3858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E6F6C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396A6A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5845DDD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11B12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C675D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7A3B44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2022</w:t>
            </w:r>
          </w:p>
        </w:tc>
      </w:tr>
      <w:tr w:rsidR="00E942D1" w:rsidRPr="00E942D1" w14:paraId="7885F0FF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9290065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500FAE2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A581ED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576221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0585C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EEAAF9D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4C5FDEF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4F9AE2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99A004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408966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87ED09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416507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71A6E0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FBD93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C9B2B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FD9906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42D1" w:rsidRPr="00E942D1" w14:paraId="02AB4EAB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57B5335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Total Count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733F9BD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00873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F4F8A9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83AAC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B3A6C1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4B511D6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1E2902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BBFF7E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E9783A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5A1DFB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E0FCDE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F5B557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DEA665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64BC6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79C4FB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43</w:t>
            </w:r>
          </w:p>
        </w:tc>
      </w:tr>
      <w:tr w:rsidR="00E942D1" w:rsidRPr="00E942D1" w14:paraId="75ADCA83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0F59D2A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99AF9B9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6B1826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C8A50C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48EC2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5979D0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04701D1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C18D0D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F10F85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913DD7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A2449D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D30AF1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FBAE3B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BEF12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36EAF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4E0F89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42D1" w:rsidRPr="00E942D1" w14:paraId="3192D208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73F07FD" w14:textId="5030AB0A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Total Count 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</w:t>
            </w: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8224D40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FA700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0A7DBD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A8814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575061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2576A2A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349B60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DDA206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41B2B0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14D6F5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2B4923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459A09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D71C63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CD5F1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1C65AB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28</w:t>
            </w:r>
          </w:p>
        </w:tc>
      </w:tr>
      <w:tr w:rsidR="00E942D1" w:rsidRPr="00E942D1" w14:paraId="2805FA6F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6890558C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42EC822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C085E3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1DD1E8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E8B1F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C009F9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0EF7EAB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7F3DCB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1677D2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A39E44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9F6D20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CE441C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BBBD34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A4DA9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632C4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1A73E1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42D1" w:rsidRPr="00E942D1" w14:paraId="6C1526C4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8653464" w14:textId="0999104A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Total Count 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</w:t>
            </w: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D979F6B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CBA37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B4ACCA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9A9E0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9AE421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7D29953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4E2F4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579926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3F1ABA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529DF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182584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081964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6FE12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1CDB8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71F6FE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E942D1" w:rsidRPr="00E942D1" w14:paraId="511B5A14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27D2757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65AEB15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F93A21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C37E8F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F22C6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09EDE0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29B8DEF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4E0EC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198F35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3BBC8F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19715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91DE6A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B25880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E050C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87D32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EBBAE5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42D1" w:rsidRPr="00E942D1" w14:paraId="708A4574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15B8663" w14:textId="73E9966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Total % 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</w:t>
            </w: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F3F44A1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38A4F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29%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D1D4E5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27%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53BC7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0F7319E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42%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4DB5442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34%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E045D7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8827B2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64%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0BAF6E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63%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9F128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4967C4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41%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C2A118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44%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4EF0CD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CC285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71%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003446B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65%</w:t>
            </w:r>
          </w:p>
        </w:tc>
      </w:tr>
      <w:tr w:rsidR="00E942D1" w:rsidRPr="00E942D1" w14:paraId="1D3C3A9F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39764F6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208EFEE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E97101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5A0EA4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48D1D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9A68DA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65951F2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D7F83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C5993B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385CA5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EB0888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571A45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3BA718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2A20C4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BED20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C8BE0C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42D1" w:rsidRPr="00E942D1" w14:paraId="6AC6B5E6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AA19BF0" w14:textId="0B7F90E0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Total % 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</w:t>
            </w: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4E8062E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41CAD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71%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B0F291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73%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A83DC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457071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58%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29B894C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66%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2FE3A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D3CEC8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36%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54A209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37%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7D0901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7341F9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0.5875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5ACB2E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56%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D583A0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7373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29%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BCF4CE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35%</w:t>
            </w:r>
          </w:p>
        </w:tc>
      </w:tr>
      <w:tr w:rsidR="00E942D1" w:rsidRPr="00E942D1" w14:paraId="527DED4D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643D3349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AE565BE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7CE4EA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B66DC5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20E99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5DAF731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2EE0377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BD9E5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770209D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39FD29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55DF2F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03EFC5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B62A2A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073B8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83C03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4B713EA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42D1" w:rsidRPr="00E942D1" w14:paraId="6FCB5D33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405923E" w14:textId="7FFC04CD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Mean Average Gender Pay Gap 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</w:t>
            </w: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 per hr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4C82440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2368E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0.44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27CC5A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B7800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5B800C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3.8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5F03E4B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36ACA7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2E67D6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4.37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F66363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F3A5BE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CE4A63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1.09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AC9DBD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034F4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0502A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-11.67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224297E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0.0</w:t>
            </w:r>
          </w:p>
        </w:tc>
      </w:tr>
      <w:tr w:rsidR="00E942D1" w:rsidRPr="00E942D1" w14:paraId="2AE7EC89" w14:textId="77777777" w:rsidTr="00E4094A">
        <w:trPr>
          <w:trHeight w:val="29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67C36243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D9DA48B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BE3A2B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3CA5D0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5F0A5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A1B912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1E9D5DB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62009D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62591C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A5787D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B03348D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503B8D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AD73C7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368C3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AD4F8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CCFCC9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42D1" w:rsidRPr="00E942D1" w14:paraId="66D71545" w14:textId="77777777" w:rsidTr="00E4094A">
        <w:trPr>
          <w:trHeight w:val="29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E6A020A" w14:textId="7D517001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Mean Average Gender Pay Gap </w:t>
            </w:r>
            <w:r w:rsidR="00051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%</w:t>
            </w:r>
            <w:r w:rsidR="00051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3DCEAEF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2DC09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1.3%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F42650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1.0%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2AA74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1C5FC0D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22.5%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207673A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14.3%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B3F2B7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174ADE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18.7%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4417AF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17.5%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F17716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167740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8.6%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8DB466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9.7%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F289BA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E9603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-99.3%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1B1DF1E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0.0%</w:t>
            </w:r>
          </w:p>
        </w:tc>
      </w:tr>
      <w:tr w:rsidR="00E942D1" w:rsidRPr="00E942D1" w14:paraId="1A995FA4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6457E1CA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A7DE78A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2854D9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54C001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AD5F5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492F10F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2DAA28A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3E6312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0F7D47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E9EE7D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130302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0B4A30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CDF59B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F81022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3CF2E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743E719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42D1" w:rsidRPr="00E942D1" w14:paraId="30539E51" w14:textId="77777777" w:rsidTr="00E4094A">
        <w:trPr>
          <w:trHeight w:val="28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8F6D4B3" w14:textId="779E7C61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Median Gender Pay Gap 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</w:t>
            </w:r>
            <w:r w:rsidRPr="00E94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051C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04A7A66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46445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1.84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6B89AA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-1.90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126AE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49C4FD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3.14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2BB0248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1.10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F773B9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C351DA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3.49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CBFE37D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3.65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8871F5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2CAC3F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7CBE53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4265C8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B9AD0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0.50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643069B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0.00</w:t>
            </w:r>
          </w:p>
        </w:tc>
      </w:tr>
      <w:tr w:rsidR="00E942D1" w:rsidRPr="00E942D1" w14:paraId="703D20C1" w14:textId="77777777" w:rsidTr="00E4094A">
        <w:trPr>
          <w:trHeight w:val="29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2ED5C4D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6FAA567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A8396F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8B0291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2477E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27187CC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7178EB4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6E64FEB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C94B77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04F7346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30627D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E33FE2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BAB340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F8D4E7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0C7744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33481AE9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942D1" w:rsidRPr="00E942D1" w14:paraId="7BB1A751" w14:textId="77777777" w:rsidTr="00E4094A">
        <w:trPr>
          <w:trHeight w:val="29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41E8139" w14:textId="79F752A9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Median Gender Pay Gap </w:t>
            </w:r>
            <w:r w:rsidR="00051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%</w:t>
            </w:r>
            <w:r w:rsidR="00051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1506450" w14:textId="77777777" w:rsidR="00E942D1" w:rsidRPr="00E942D1" w:rsidRDefault="00E942D1" w:rsidP="00E40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252D9A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4.4%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1532CEE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-4.8%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EFAB50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B8BD17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21.4%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6DF06F71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8.2%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F0236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68A3EA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16.2%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09203D5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17.4%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CA9A538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33440F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2.8%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6AC3CA2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5.2%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89EFFF3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CDD2BC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4.2%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14:paraId="511A5EBF" w14:textId="77777777" w:rsidR="00E942D1" w:rsidRPr="00E942D1" w:rsidRDefault="00E942D1" w:rsidP="00E409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94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0.0%</w:t>
            </w:r>
          </w:p>
        </w:tc>
      </w:tr>
    </w:tbl>
    <w:p w14:paraId="696CB7C6" w14:textId="77777777" w:rsidR="00E942D1" w:rsidRDefault="00E942D1" w:rsidP="00E942D1"/>
    <w:p w14:paraId="4DF30BE7" w14:textId="5DCE501D" w:rsidR="00E942D1" w:rsidRPr="00B51FF0" w:rsidRDefault="00E942D1" w:rsidP="00C9094A">
      <w:pPr>
        <w:spacing w:after="0"/>
        <w:rPr>
          <w:rFonts w:eastAsia="Times New Roman" w:cs="Times New Roman"/>
          <w:b/>
          <w:bCs/>
          <w:color w:val="000000"/>
        </w:rPr>
      </w:pPr>
    </w:p>
    <w:sectPr w:rsidR="00E942D1" w:rsidRPr="00B51FF0" w:rsidSect="00E4094A">
      <w:head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58B40" w16cex:dateUtc="2021-10-04T13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2A55" w14:textId="77777777" w:rsidR="00E4094A" w:rsidRDefault="00E4094A" w:rsidP="006F14B9">
      <w:pPr>
        <w:spacing w:after="0" w:line="240" w:lineRule="auto"/>
      </w:pPr>
      <w:r>
        <w:separator/>
      </w:r>
    </w:p>
  </w:endnote>
  <w:endnote w:type="continuationSeparator" w:id="0">
    <w:p w14:paraId="1656FB8F" w14:textId="77777777" w:rsidR="00E4094A" w:rsidRDefault="00E4094A" w:rsidP="006F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B70C9" w14:textId="77777777" w:rsidR="00E4094A" w:rsidRDefault="00E4094A" w:rsidP="006F14B9">
      <w:pPr>
        <w:spacing w:after="0" w:line="240" w:lineRule="auto"/>
      </w:pPr>
      <w:r>
        <w:separator/>
      </w:r>
    </w:p>
  </w:footnote>
  <w:footnote w:type="continuationSeparator" w:id="0">
    <w:p w14:paraId="3667500B" w14:textId="77777777" w:rsidR="00E4094A" w:rsidRDefault="00E4094A" w:rsidP="006F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B537A" w14:textId="77777777" w:rsidR="00E4094A" w:rsidRDefault="00E4094A" w:rsidP="00DD5028">
    <w:pPr>
      <w:pStyle w:val="Header"/>
      <w:jc w:val="center"/>
    </w:pPr>
    <w:r w:rsidRPr="00932031">
      <w:rPr>
        <w:noProof/>
        <w:lang w:eastAsia="en-GB"/>
      </w:rPr>
      <w:drawing>
        <wp:inline distT="0" distB="0" distL="0" distR="0" wp14:anchorId="01EE6292" wp14:editId="508FA851">
          <wp:extent cx="1083986" cy="1021715"/>
          <wp:effectExtent l="0" t="0" r="1905" b="6985"/>
          <wp:docPr id="2" name="Picture 2" descr="Description: UNIV logo circle RGB 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UNIV logo circle RGB 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676" cy="1026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30FC2" w14:textId="77777777" w:rsidR="00E4094A" w:rsidRPr="00BE6B83" w:rsidRDefault="00E4094A" w:rsidP="00E4094A">
    <w:pPr>
      <w:pStyle w:val="Header"/>
      <w:jc w:val="center"/>
      <w:rPr>
        <w:rFonts w:ascii="Arial" w:hAnsi="Arial" w:cs="Arial"/>
        <w:b/>
      </w:rPr>
    </w:pPr>
    <w:r w:rsidRPr="00BE6B83">
      <w:rPr>
        <w:rFonts w:ascii="Arial" w:hAnsi="Arial" w:cs="Arial"/>
        <w:b/>
      </w:rPr>
      <w:t>A</w:t>
    </w:r>
    <w:r>
      <w:rPr>
        <w:rFonts w:ascii="Arial" w:hAnsi="Arial" w:cs="Arial"/>
        <w:b/>
      </w:rPr>
      <w:t>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40C"/>
    <w:multiLevelType w:val="hybridMultilevel"/>
    <w:tmpl w:val="66D6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A7E"/>
    <w:multiLevelType w:val="hybridMultilevel"/>
    <w:tmpl w:val="A4864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5FF8"/>
    <w:multiLevelType w:val="hybridMultilevel"/>
    <w:tmpl w:val="E050D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36E07"/>
    <w:multiLevelType w:val="hybridMultilevel"/>
    <w:tmpl w:val="4E14EF1A"/>
    <w:lvl w:ilvl="0" w:tplc="9BE059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0BC1"/>
    <w:multiLevelType w:val="hybridMultilevel"/>
    <w:tmpl w:val="C9D23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1EB0"/>
    <w:multiLevelType w:val="hybridMultilevel"/>
    <w:tmpl w:val="DF7C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0417D"/>
    <w:multiLevelType w:val="hybridMultilevel"/>
    <w:tmpl w:val="1382B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C2971"/>
    <w:multiLevelType w:val="multilevel"/>
    <w:tmpl w:val="40D4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45F94"/>
    <w:multiLevelType w:val="hybridMultilevel"/>
    <w:tmpl w:val="F5A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92B30"/>
    <w:multiLevelType w:val="hybridMultilevel"/>
    <w:tmpl w:val="A23ED494"/>
    <w:lvl w:ilvl="0" w:tplc="38E4E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00453"/>
    <w:multiLevelType w:val="hybridMultilevel"/>
    <w:tmpl w:val="17EA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B6BB0"/>
    <w:multiLevelType w:val="hybridMultilevel"/>
    <w:tmpl w:val="B4AEF8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28"/>
    <w:rsid w:val="00000742"/>
    <w:rsid w:val="0001583B"/>
    <w:rsid w:val="00020C98"/>
    <w:rsid w:val="00051C34"/>
    <w:rsid w:val="000744B7"/>
    <w:rsid w:val="000771D2"/>
    <w:rsid w:val="000901E2"/>
    <w:rsid w:val="00091D38"/>
    <w:rsid w:val="00093244"/>
    <w:rsid w:val="000B02A3"/>
    <w:rsid w:val="000B0337"/>
    <w:rsid w:val="000B08A1"/>
    <w:rsid w:val="000B1768"/>
    <w:rsid w:val="000B47FF"/>
    <w:rsid w:val="000B6801"/>
    <w:rsid w:val="000D1DC5"/>
    <w:rsid w:val="00105574"/>
    <w:rsid w:val="00145B2C"/>
    <w:rsid w:val="00162CBC"/>
    <w:rsid w:val="00190499"/>
    <w:rsid w:val="001A2865"/>
    <w:rsid w:val="001A462A"/>
    <w:rsid w:val="001B096A"/>
    <w:rsid w:val="001B6162"/>
    <w:rsid w:val="001C3039"/>
    <w:rsid w:val="001C4EC8"/>
    <w:rsid w:val="001D54BC"/>
    <w:rsid w:val="001F6C20"/>
    <w:rsid w:val="002101D4"/>
    <w:rsid w:val="002233CD"/>
    <w:rsid w:val="00245DB4"/>
    <w:rsid w:val="00262D54"/>
    <w:rsid w:val="002A0C61"/>
    <w:rsid w:val="002A4479"/>
    <w:rsid w:val="002B54CC"/>
    <w:rsid w:val="002D1227"/>
    <w:rsid w:val="002E15FF"/>
    <w:rsid w:val="002E6C4E"/>
    <w:rsid w:val="002F3EBA"/>
    <w:rsid w:val="003039AB"/>
    <w:rsid w:val="00324E90"/>
    <w:rsid w:val="00342ACE"/>
    <w:rsid w:val="003602E5"/>
    <w:rsid w:val="003A14ED"/>
    <w:rsid w:val="003A72B5"/>
    <w:rsid w:val="003E096A"/>
    <w:rsid w:val="003F3472"/>
    <w:rsid w:val="00411BA7"/>
    <w:rsid w:val="004158F8"/>
    <w:rsid w:val="00427EF5"/>
    <w:rsid w:val="00433CB2"/>
    <w:rsid w:val="004421B2"/>
    <w:rsid w:val="0044796E"/>
    <w:rsid w:val="00450D33"/>
    <w:rsid w:val="00471C4D"/>
    <w:rsid w:val="00473D32"/>
    <w:rsid w:val="0047434E"/>
    <w:rsid w:val="004955D8"/>
    <w:rsid w:val="00495D7E"/>
    <w:rsid w:val="004A1F7E"/>
    <w:rsid w:val="004A7720"/>
    <w:rsid w:val="004B10B5"/>
    <w:rsid w:val="004B343A"/>
    <w:rsid w:val="004B4963"/>
    <w:rsid w:val="004D685B"/>
    <w:rsid w:val="00524796"/>
    <w:rsid w:val="0052729B"/>
    <w:rsid w:val="00532D1F"/>
    <w:rsid w:val="00541E6E"/>
    <w:rsid w:val="00561028"/>
    <w:rsid w:val="0056745D"/>
    <w:rsid w:val="00571710"/>
    <w:rsid w:val="005763A6"/>
    <w:rsid w:val="00576821"/>
    <w:rsid w:val="00580188"/>
    <w:rsid w:val="0059361D"/>
    <w:rsid w:val="005B0E23"/>
    <w:rsid w:val="005B79D6"/>
    <w:rsid w:val="005E5D7D"/>
    <w:rsid w:val="005F0849"/>
    <w:rsid w:val="006023A9"/>
    <w:rsid w:val="00610679"/>
    <w:rsid w:val="006135A8"/>
    <w:rsid w:val="006307DD"/>
    <w:rsid w:val="00641F68"/>
    <w:rsid w:val="006468A6"/>
    <w:rsid w:val="006579D9"/>
    <w:rsid w:val="006924DA"/>
    <w:rsid w:val="0069380D"/>
    <w:rsid w:val="00697D86"/>
    <w:rsid w:val="006B1280"/>
    <w:rsid w:val="006B4E14"/>
    <w:rsid w:val="006B5A4F"/>
    <w:rsid w:val="006E0685"/>
    <w:rsid w:val="006F06C7"/>
    <w:rsid w:val="006F0CC7"/>
    <w:rsid w:val="006F14B9"/>
    <w:rsid w:val="00714217"/>
    <w:rsid w:val="00716D2E"/>
    <w:rsid w:val="00733F62"/>
    <w:rsid w:val="00760D36"/>
    <w:rsid w:val="007672F5"/>
    <w:rsid w:val="00767998"/>
    <w:rsid w:val="00790723"/>
    <w:rsid w:val="007972E3"/>
    <w:rsid w:val="007A7942"/>
    <w:rsid w:val="007B7622"/>
    <w:rsid w:val="007D4B49"/>
    <w:rsid w:val="00806DC8"/>
    <w:rsid w:val="00815FC3"/>
    <w:rsid w:val="008249C8"/>
    <w:rsid w:val="008375D7"/>
    <w:rsid w:val="0085583B"/>
    <w:rsid w:val="0086781A"/>
    <w:rsid w:val="00875057"/>
    <w:rsid w:val="00880091"/>
    <w:rsid w:val="00883D4D"/>
    <w:rsid w:val="0088628E"/>
    <w:rsid w:val="00891756"/>
    <w:rsid w:val="00891CAE"/>
    <w:rsid w:val="008A5353"/>
    <w:rsid w:val="008B337F"/>
    <w:rsid w:val="008B7BF5"/>
    <w:rsid w:val="008C361B"/>
    <w:rsid w:val="008D69AD"/>
    <w:rsid w:val="008E4684"/>
    <w:rsid w:val="008F212F"/>
    <w:rsid w:val="008F6097"/>
    <w:rsid w:val="00904581"/>
    <w:rsid w:val="00923288"/>
    <w:rsid w:val="0095204C"/>
    <w:rsid w:val="00953917"/>
    <w:rsid w:val="00957534"/>
    <w:rsid w:val="009605EF"/>
    <w:rsid w:val="00974497"/>
    <w:rsid w:val="00982A89"/>
    <w:rsid w:val="00991A35"/>
    <w:rsid w:val="009D4ADE"/>
    <w:rsid w:val="009F4FED"/>
    <w:rsid w:val="00A0087B"/>
    <w:rsid w:val="00A07E0D"/>
    <w:rsid w:val="00A13E21"/>
    <w:rsid w:val="00A27C9C"/>
    <w:rsid w:val="00A34183"/>
    <w:rsid w:val="00A443FB"/>
    <w:rsid w:val="00A700DF"/>
    <w:rsid w:val="00A70C7A"/>
    <w:rsid w:val="00A716AD"/>
    <w:rsid w:val="00A7260F"/>
    <w:rsid w:val="00A9621C"/>
    <w:rsid w:val="00AB52E7"/>
    <w:rsid w:val="00AC7317"/>
    <w:rsid w:val="00AD3D63"/>
    <w:rsid w:val="00B120BD"/>
    <w:rsid w:val="00B13669"/>
    <w:rsid w:val="00B22641"/>
    <w:rsid w:val="00B32088"/>
    <w:rsid w:val="00B47F8D"/>
    <w:rsid w:val="00B52E62"/>
    <w:rsid w:val="00B6157B"/>
    <w:rsid w:val="00B62266"/>
    <w:rsid w:val="00B712D0"/>
    <w:rsid w:val="00B71969"/>
    <w:rsid w:val="00B87885"/>
    <w:rsid w:val="00BA1632"/>
    <w:rsid w:val="00BA32C6"/>
    <w:rsid w:val="00BA363C"/>
    <w:rsid w:val="00BA53DB"/>
    <w:rsid w:val="00BA5938"/>
    <w:rsid w:val="00BB5AE4"/>
    <w:rsid w:val="00BD0641"/>
    <w:rsid w:val="00BD1C11"/>
    <w:rsid w:val="00BF4319"/>
    <w:rsid w:val="00C02B92"/>
    <w:rsid w:val="00C10B44"/>
    <w:rsid w:val="00C1216B"/>
    <w:rsid w:val="00C35CF4"/>
    <w:rsid w:val="00C55CB8"/>
    <w:rsid w:val="00C7537C"/>
    <w:rsid w:val="00C8710D"/>
    <w:rsid w:val="00C9094A"/>
    <w:rsid w:val="00C96915"/>
    <w:rsid w:val="00CA70E3"/>
    <w:rsid w:val="00CB0BBE"/>
    <w:rsid w:val="00CB0F15"/>
    <w:rsid w:val="00CC3555"/>
    <w:rsid w:val="00CE197C"/>
    <w:rsid w:val="00CE1A0C"/>
    <w:rsid w:val="00CE2504"/>
    <w:rsid w:val="00CE3FC0"/>
    <w:rsid w:val="00D10360"/>
    <w:rsid w:val="00D10C17"/>
    <w:rsid w:val="00D13F93"/>
    <w:rsid w:val="00D20D8E"/>
    <w:rsid w:val="00D5637D"/>
    <w:rsid w:val="00D90BBA"/>
    <w:rsid w:val="00DB540D"/>
    <w:rsid w:val="00DB5A06"/>
    <w:rsid w:val="00DC1DD0"/>
    <w:rsid w:val="00DC345C"/>
    <w:rsid w:val="00DD5028"/>
    <w:rsid w:val="00DE07E0"/>
    <w:rsid w:val="00DE4C60"/>
    <w:rsid w:val="00DE4C67"/>
    <w:rsid w:val="00DF2AE6"/>
    <w:rsid w:val="00E13A02"/>
    <w:rsid w:val="00E4094A"/>
    <w:rsid w:val="00E55F55"/>
    <w:rsid w:val="00E87346"/>
    <w:rsid w:val="00E905CB"/>
    <w:rsid w:val="00E91488"/>
    <w:rsid w:val="00E942D1"/>
    <w:rsid w:val="00ED712C"/>
    <w:rsid w:val="00EF50C3"/>
    <w:rsid w:val="00EF75A1"/>
    <w:rsid w:val="00EF77D6"/>
    <w:rsid w:val="00F0085F"/>
    <w:rsid w:val="00F0488E"/>
    <w:rsid w:val="00F15D06"/>
    <w:rsid w:val="00F312D6"/>
    <w:rsid w:val="00F37C13"/>
    <w:rsid w:val="00F40A50"/>
    <w:rsid w:val="00F52011"/>
    <w:rsid w:val="00F6559F"/>
    <w:rsid w:val="00F74098"/>
    <w:rsid w:val="00F9669C"/>
    <w:rsid w:val="00FA1EF8"/>
    <w:rsid w:val="00FB4DAB"/>
    <w:rsid w:val="00FC2805"/>
    <w:rsid w:val="00FD04C0"/>
    <w:rsid w:val="00FD6B44"/>
    <w:rsid w:val="00FE49B0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A8CD"/>
  <w15:chartTrackingRefBased/>
  <w15:docId w15:val="{4A6E600A-BFDB-4A2C-8ED7-58D1B51D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F14B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14B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F14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028"/>
  </w:style>
  <w:style w:type="paragraph" w:styleId="Footer">
    <w:name w:val="footer"/>
    <w:basedOn w:val="Normal"/>
    <w:link w:val="FooterChar"/>
    <w:uiPriority w:val="99"/>
    <w:unhideWhenUsed/>
    <w:rsid w:val="00DD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028"/>
  </w:style>
  <w:style w:type="table" w:styleId="GridTable2-Accent2">
    <w:name w:val="Grid Table 2 Accent 2"/>
    <w:basedOn w:val="TableNormal"/>
    <w:uiPriority w:val="47"/>
    <w:rsid w:val="00EF77D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6023A9"/>
  </w:style>
  <w:style w:type="paragraph" w:customStyle="1" w:styleId="p2">
    <w:name w:val="p2"/>
    <w:basedOn w:val="Normal"/>
    <w:rsid w:val="00DE07E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4">
    <w:name w:val="p4"/>
    <w:basedOn w:val="Normal"/>
    <w:rsid w:val="00DE07E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2">
    <w:name w:val="s2"/>
    <w:basedOn w:val="DefaultParagraphFont"/>
    <w:rsid w:val="00DE07E0"/>
  </w:style>
  <w:style w:type="character" w:styleId="Hyperlink">
    <w:name w:val="Hyperlink"/>
    <w:basedOn w:val="DefaultParagraphFont"/>
    <w:uiPriority w:val="99"/>
    <w:unhideWhenUsed/>
    <w:rsid w:val="00BF4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3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31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3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3CD"/>
    <w:rPr>
      <w:b/>
      <w:bCs/>
      <w:sz w:val="20"/>
      <w:szCs w:val="20"/>
    </w:rPr>
  </w:style>
  <w:style w:type="paragraph" w:customStyle="1" w:styleId="p1">
    <w:name w:val="p1"/>
    <w:basedOn w:val="Normal"/>
    <w:rsid w:val="00B47F8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B47F8D"/>
  </w:style>
  <w:style w:type="character" w:customStyle="1" w:styleId="apple-converted-space">
    <w:name w:val="apple-converted-space"/>
    <w:basedOn w:val="DefaultParagraphFont"/>
    <w:rsid w:val="00B47F8D"/>
  </w:style>
  <w:style w:type="paragraph" w:styleId="NormalWeb">
    <w:name w:val="Normal (Web)"/>
    <w:basedOn w:val="Normal"/>
    <w:uiPriority w:val="99"/>
    <w:semiHidden/>
    <w:unhideWhenUsed/>
    <w:rsid w:val="00BA32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.ox.ac.uk/policy-documents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5FD7D7-D047-4991-AE91-0937B777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4361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Balliol College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Tewungwa</dc:creator>
  <cp:keywords/>
  <dc:description/>
  <cp:lastModifiedBy>Alan Tewungwa</cp:lastModifiedBy>
  <cp:revision>2</cp:revision>
  <cp:lastPrinted>2024-03-25T12:48:00Z</cp:lastPrinted>
  <dcterms:created xsi:type="dcterms:W3CDTF">2024-04-08T12:15:00Z</dcterms:created>
  <dcterms:modified xsi:type="dcterms:W3CDTF">2024-04-08T12:15:00Z</dcterms:modified>
</cp:coreProperties>
</file>